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4ADE" w14:textId="16DF1BE0" w:rsidR="004D5DF1" w:rsidRDefault="004D5DF1" w:rsidP="004D5DF1">
      <w:pPr>
        <w:jc w:val="center"/>
        <w:rPr>
          <w:sz w:val="28"/>
          <w:szCs w:val="28"/>
        </w:rPr>
      </w:pPr>
      <w:r>
        <w:rPr>
          <w:sz w:val="32"/>
          <w:szCs w:val="32"/>
        </w:rPr>
        <w:t xml:space="preserve">SALC Internal Audit Report Year Ending </w:t>
      </w:r>
      <w:r>
        <w:rPr>
          <w:sz w:val="28"/>
          <w:szCs w:val="28"/>
        </w:rPr>
        <w:t>31 March 202</w:t>
      </w:r>
      <w:r w:rsidR="00461D65">
        <w:rPr>
          <w:sz w:val="28"/>
          <w:szCs w:val="28"/>
        </w:rPr>
        <w:t>2</w:t>
      </w:r>
    </w:p>
    <w:p w14:paraId="28B3ED3C" w14:textId="0DAD6FC6" w:rsidR="004D5DF1" w:rsidRDefault="004D5DF1" w:rsidP="004D5DF1">
      <w:pPr>
        <w:jc w:val="center"/>
        <w:rPr>
          <w:sz w:val="28"/>
          <w:szCs w:val="28"/>
        </w:rPr>
      </w:pPr>
      <w:r>
        <w:rPr>
          <w:sz w:val="28"/>
          <w:szCs w:val="28"/>
        </w:rPr>
        <w:t>Action Plan / Responses to Comments &amp; Recommendations Raised:</w:t>
      </w:r>
    </w:p>
    <w:p w14:paraId="51A5A511" w14:textId="77777777" w:rsidR="006E428F" w:rsidRDefault="006E428F" w:rsidP="004D5DF1">
      <w:pPr>
        <w:jc w:val="center"/>
        <w:rPr>
          <w:sz w:val="28"/>
          <w:szCs w:val="28"/>
        </w:rPr>
      </w:pPr>
    </w:p>
    <w:tbl>
      <w:tblPr>
        <w:tblW w:w="144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5816"/>
        <w:gridCol w:w="5771"/>
      </w:tblGrid>
      <w:tr w:rsidR="004D5DF1" w14:paraId="2622C9EB" w14:textId="77777777" w:rsidTr="0003108B">
        <w:trPr>
          <w:trHeight w:val="452"/>
        </w:trPr>
        <w:tc>
          <w:tcPr>
            <w:tcW w:w="2893" w:type="dxa"/>
          </w:tcPr>
          <w:p w14:paraId="19A0CE52" w14:textId="77777777" w:rsidR="004D5DF1" w:rsidRPr="000800D1" w:rsidRDefault="004D5DF1" w:rsidP="003864E9">
            <w:pPr>
              <w:ind w:left="75"/>
              <w:jc w:val="both"/>
              <w:rPr>
                <w:b/>
                <w:bCs/>
                <w:sz w:val="24"/>
                <w:szCs w:val="24"/>
              </w:rPr>
            </w:pPr>
            <w:r w:rsidRPr="000800D1">
              <w:rPr>
                <w:b/>
                <w:bCs/>
                <w:sz w:val="24"/>
                <w:szCs w:val="24"/>
              </w:rPr>
              <w:t>Subject</w:t>
            </w:r>
          </w:p>
        </w:tc>
        <w:tc>
          <w:tcPr>
            <w:tcW w:w="5816" w:type="dxa"/>
          </w:tcPr>
          <w:p w14:paraId="4917EA1E" w14:textId="77777777" w:rsidR="004D5DF1" w:rsidRPr="000800D1" w:rsidRDefault="004D5DF1" w:rsidP="003864E9">
            <w:pPr>
              <w:jc w:val="both"/>
              <w:rPr>
                <w:b/>
                <w:bCs/>
                <w:sz w:val="24"/>
                <w:szCs w:val="24"/>
              </w:rPr>
            </w:pPr>
            <w:r w:rsidRPr="000800D1">
              <w:rPr>
                <w:b/>
                <w:bCs/>
                <w:sz w:val="24"/>
                <w:szCs w:val="24"/>
              </w:rPr>
              <w:t>SALC Comment / Recommendation</w:t>
            </w:r>
          </w:p>
        </w:tc>
        <w:tc>
          <w:tcPr>
            <w:tcW w:w="5771" w:type="dxa"/>
          </w:tcPr>
          <w:p w14:paraId="357D61EE" w14:textId="77777777" w:rsidR="004D5DF1" w:rsidRPr="000800D1" w:rsidRDefault="004D5DF1" w:rsidP="003864E9">
            <w:pPr>
              <w:jc w:val="both"/>
              <w:rPr>
                <w:b/>
                <w:bCs/>
                <w:sz w:val="24"/>
                <w:szCs w:val="24"/>
              </w:rPr>
            </w:pPr>
            <w:r w:rsidRPr="000800D1">
              <w:rPr>
                <w:b/>
                <w:bCs/>
                <w:sz w:val="24"/>
                <w:szCs w:val="24"/>
              </w:rPr>
              <w:t>CPC Response / Action</w:t>
            </w:r>
          </w:p>
        </w:tc>
      </w:tr>
      <w:tr w:rsidR="004D5DF1" w14:paraId="46FA1AC2" w14:textId="77777777" w:rsidTr="0003108B">
        <w:trPr>
          <w:trHeight w:val="2897"/>
        </w:trPr>
        <w:tc>
          <w:tcPr>
            <w:tcW w:w="2893" w:type="dxa"/>
          </w:tcPr>
          <w:p w14:paraId="1FA909C6" w14:textId="77777777" w:rsidR="004D5DF1" w:rsidRDefault="004D5DF1" w:rsidP="003864E9">
            <w:pPr>
              <w:ind w:left="75"/>
              <w:jc w:val="both"/>
              <w:rPr>
                <w:sz w:val="24"/>
                <w:szCs w:val="24"/>
              </w:rPr>
            </w:pPr>
          </w:p>
          <w:p w14:paraId="77698D9E" w14:textId="77777777" w:rsidR="00444982" w:rsidRDefault="00444982" w:rsidP="00A27DBA">
            <w:pPr>
              <w:ind w:left="75"/>
              <w:jc w:val="both"/>
              <w:rPr>
                <w:sz w:val="24"/>
                <w:szCs w:val="24"/>
              </w:rPr>
            </w:pPr>
          </w:p>
          <w:p w14:paraId="352FA4DA" w14:textId="59080AA3" w:rsidR="00A27DBA" w:rsidRDefault="00F46540" w:rsidP="00A27DBA">
            <w:pPr>
              <w:ind w:left="75"/>
              <w:rPr>
                <w:sz w:val="24"/>
                <w:szCs w:val="24"/>
              </w:rPr>
            </w:pPr>
            <w:r>
              <w:rPr>
                <w:sz w:val="24"/>
                <w:szCs w:val="24"/>
              </w:rPr>
              <w:t>4. Risk Management</w:t>
            </w:r>
          </w:p>
          <w:p w14:paraId="3599CA87" w14:textId="46D7C64D" w:rsidR="004D5DF1" w:rsidRDefault="00F46540" w:rsidP="00706FAA">
            <w:pPr>
              <w:ind w:left="75"/>
              <w:rPr>
                <w:sz w:val="24"/>
                <w:szCs w:val="24"/>
              </w:rPr>
            </w:pPr>
            <w:r>
              <w:rPr>
                <w:sz w:val="24"/>
                <w:szCs w:val="24"/>
              </w:rPr>
              <w:t xml:space="preserve">Does the Council have appropriate and adequate insurance cover in place </w:t>
            </w:r>
            <w:r>
              <w:rPr>
                <w:b/>
                <w:bCs/>
                <w:sz w:val="24"/>
                <w:szCs w:val="24"/>
              </w:rPr>
              <w:t xml:space="preserve">and </w:t>
            </w:r>
            <w:r>
              <w:rPr>
                <w:sz w:val="24"/>
                <w:szCs w:val="24"/>
              </w:rPr>
              <w:t>has been reviewed on an annual basis?</w:t>
            </w:r>
          </w:p>
        </w:tc>
        <w:tc>
          <w:tcPr>
            <w:tcW w:w="5816" w:type="dxa"/>
          </w:tcPr>
          <w:p w14:paraId="67FB79E1" w14:textId="77777777" w:rsidR="004D5DF1" w:rsidRDefault="004D5DF1" w:rsidP="003864E9">
            <w:pPr>
              <w:ind w:left="75"/>
              <w:jc w:val="both"/>
              <w:rPr>
                <w:sz w:val="24"/>
                <w:szCs w:val="24"/>
              </w:rPr>
            </w:pPr>
          </w:p>
          <w:p w14:paraId="357F889A" w14:textId="77777777" w:rsidR="004D5DF1" w:rsidRDefault="004D5DF1" w:rsidP="003864E9">
            <w:pPr>
              <w:ind w:left="75"/>
              <w:jc w:val="both"/>
              <w:rPr>
                <w:sz w:val="24"/>
                <w:szCs w:val="24"/>
              </w:rPr>
            </w:pPr>
          </w:p>
          <w:p w14:paraId="78A849F1" w14:textId="72AB05D6" w:rsidR="004D5DF1" w:rsidRDefault="004D5DF1" w:rsidP="003864E9">
            <w:pPr>
              <w:ind w:left="75"/>
              <w:jc w:val="both"/>
              <w:rPr>
                <w:sz w:val="24"/>
                <w:szCs w:val="24"/>
              </w:rPr>
            </w:pPr>
            <w:r>
              <w:rPr>
                <w:sz w:val="24"/>
                <w:szCs w:val="24"/>
              </w:rPr>
              <w:t xml:space="preserve">Comment: </w:t>
            </w:r>
            <w:r w:rsidR="00F46540">
              <w:rPr>
                <w:sz w:val="24"/>
                <w:szCs w:val="24"/>
              </w:rPr>
              <w:t>Council should note that it is the responsibility of the whole council to satisfy itself that insurances are adequate</w:t>
            </w:r>
            <w:r w:rsidR="00706FAA">
              <w:rPr>
                <w:sz w:val="24"/>
                <w:szCs w:val="24"/>
              </w:rPr>
              <w:t xml:space="preserve"> and that having identified, assessed</w:t>
            </w:r>
            <w:r w:rsidR="00054A7D">
              <w:rPr>
                <w:sz w:val="24"/>
                <w:szCs w:val="24"/>
              </w:rPr>
              <w:t>,</w:t>
            </w:r>
            <w:r w:rsidR="00706FAA">
              <w:rPr>
                <w:sz w:val="24"/>
                <w:szCs w:val="24"/>
              </w:rPr>
              <w:t xml:space="preserve"> and recorded the risks, appropriate measures, such as the appropriate use of insurance cover, have been taken to mitigate and manage the risk. This should be evidenced by a minute reference.</w:t>
            </w:r>
            <w:r>
              <w:rPr>
                <w:sz w:val="24"/>
                <w:szCs w:val="24"/>
              </w:rPr>
              <w:t xml:space="preserve"> </w:t>
            </w:r>
          </w:p>
        </w:tc>
        <w:tc>
          <w:tcPr>
            <w:tcW w:w="5771" w:type="dxa"/>
          </w:tcPr>
          <w:p w14:paraId="6B29A61F" w14:textId="77777777" w:rsidR="004D5DF1" w:rsidRDefault="004D5DF1" w:rsidP="003864E9">
            <w:pPr>
              <w:ind w:left="75"/>
              <w:jc w:val="both"/>
              <w:rPr>
                <w:sz w:val="24"/>
                <w:szCs w:val="24"/>
              </w:rPr>
            </w:pPr>
          </w:p>
          <w:p w14:paraId="37D6F1F7" w14:textId="77777777" w:rsidR="004D5DF1" w:rsidRDefault="004D5DF1" w:rsidP="003864E9">
            <w:pPr>
              <w:ind w:left="75"/>
              <w:jc w:val="both"/>
              <w:rPr>
                <w:sz w:val="24"/>
                <w:szCs w:val="24"/>
              </w:rPr>
            </w:pPr>
          </w:p>
          <w:p w14:paraId="5466FB6F" w14:textId="2D3D24EF" w:rsidR="00EB00B7" w:rsidRDefault="00EB00B7" w:rsidP="003864E9">
            <w:pPr>
              <w:ind w:left="75"/>
              <w:jc w:val="both"/>
              <w:rPr>
                <w:sz w:val="24"/>
                <w:szCs w:val="24"/>
              </w:rPr>
            </w:pPr>
            <w:r>
              <w:rPr>
                <w:sz w:val="24"/>
                <w:szCs w:val="24"/>
              </w:rPr>
              <w:t>The comment received from the SALC internal audito</w:t>
            </w:r>
            <w:r w:rsidR="0025790A">
              <w:rPr>
                <w:sz w:val="24"/>
                <w:szCs w:val="24"/>
              </w:rPr>
              <w:t>r has been</w:t>
            </w:r>
            <w:r>
              <w:rPr>
                <w:sz w:val="24"/>
                <w:szCs w:val="24"/>
              </w:rPr>
              <w:t xml:space="preserve"> noted</w:t>
            </w:r>
            <w:r w:rsidR="00DA4EED">
              <w:rPr>
                <w:sz w:val="24"/>
                <w:szCs w:val="24"/>
              </w:rPr>
              <w:t xml:space="preserve"> </w:t>
            </w:r>
            <w:r w:rsidR="00054A7D">
              <w:rPr>
                <w:sz w:val="24"/>
                <w:szCs w:val="24"/>
              </w:rPr>
              <w:t>and will be applied at the time of the insurance renewal, 1 October 2022.</w:t>
            </w:r>
          </w:p>
          <w:p w14:paraId="3AA42A5E" w14:textId="389BDE21" w:rsidR="004D5DF1" w:rsidRDefault="004D5DF1" w:rsidP="003864E9">
            <w:pPr>
              <w:ind w:left="75"/>
              <w:jc w:val="both"/>
              <w:rPr>
                <w:sz w:val="24"/>
                <w:szCs w:val="24"/>
              </w:rPr>
            </w:pPr>
            <w:r>
              <w:rPr>
                <w:sz w:val="24"/>
                <w:szCs w:val="24"/>
              </w:rPr>
              <w:t>No further action required by CPC.</w:t>
            </w:r>
          </w:p>
        </w:tc>
      </w:tr>
      <w:tr w:rsidR="004D5DF1" w14:paraId="592EEA2B" w14:textId="77777777" w:rsidTr="0003108B">
        <w:trPr>
          <w:trHeight w:val="1851"/>
        </w:trPr>
        <w:tc>
          <w:tcPr>
            <w:tcW w:w="2893" w:type="dxa"/>
          </w:tcPr>
          <w:p w14:paraId="03E170AD" w14:textId="77777777" w:rsidR="004D5DF1" w:rsidRDefault="004D5DF1" w:rsidP="003864E9">
            <w:pPr>
              <w:ind w:left="75"/>
              <w:jc w:val="both"/>
              <w:rPr>
                <w:sz w:val="24"/>
                <w:szCs w:val="24"/>
              </w:rPr>
            </w:pPr>
          </w:p>
          <w:p w14:paraId="2C0F1D03" w14:textId="402F8FEB" w:rsidR="004D5DF1" w:rsidRDefault="00EC0722" w:rsidP="003864E9">
            <w:pPr>
              <w:ind w:left="75"/>
              <w:jc w:val="both"/>
              <w:rPr>
                <w:sz w:val="24"/>
                <w:szCs w:val="24"/>
              </w:rPr>
            </w:pPr>
            <w:r>
              <w:rPr>
                <w:sz w:val="24"/>
                <w:szCs w:val="24"/>
              </w:rPr>
              <w:t xml:space="preserve">14. </w:t>
            </w:r>
            <w:r w:rsidR="006E428F">
              <w:rPr>
                <w:sz w:val="24"/>
                <w:szCs w:val="24"/>
              </w:rPr>
              <w:t>Additional Information</w:t>
            </w:r>
          </w:p>
          <w:p w14:paraId="731232FC" w14:textId="77777777" w:rsidR="002F588C" w:rsidRDefault="00EC0722" w:rsidP="003864E9">
            <w:pPr>
              <w:ind w:left="75"/>
              <w:jc w:val="both"/>
              <w:rPr>
                <w:sz w:val="24"/>
                <w:szCs w:val="24"/>
              </w:rPr>
            </w:pPr>
            <w:r>
              <w:rPr>
                <w:sz w:val="24"/>
                <w:szCs w:val="24"/>
              </w:rPr>
              <w:t>Is there evidence that Minutes are administered in accordance with legi</w:t>
            </w:r>
            <w:r w:rsidR="002F588C">
              <w:rPr>
                <w:sz w:val="24"/>
                <w:szCs w:val="24"/>
              </w:rPr>
              <w:t>sl</w:t>
            </w:r>
            <w:r>
              <w:rPr>
                <w:sz w:val="24"/>
                <w:szCs w:val="24"/>
              </w:rPr>
              <w:t>ation?</w:t>
            </w:r>
          </w:p>
          <w:p w14:paraId="189AD4B6" w14:textId="77777777" w:rsidR="002F588C" w:rsidRDefault="002F588C" w:rsidP="003864E9">
            <w:pPr>
              <w:ind w:left="75"/>
              <w:jc w:val="both"/>
              <w:rPr>
                <w:sz w:val="24"/>
                <w:szCs w:val="24"/>
              </w:rPr>
            </w:pPr>
          </w:p>
          <w:p w14:paraId="48BC9DDA" w14:textId="1C3AD8C6" w:rsidR="004D5DF1" w:rsidRDefault="004D5DF1" w:rsidP="003864E9">
            <w:pPr>
              <w:ind w:left="75"/>
              <w:jc w:val="both"/>
              <w:rPr>
                <w:sz w:val="24"/>
                <w:szCs w:val="24"/>
              </w:rPr>
            </w:pPr>
            <w:r>
              <w:rPr>
                <w:sz w:val="24"/>
                <w:szCs w:val="24"/>
              </w:rPr>
              <w:t xml:space="preserve"> </w:t>
            </w:r>
          </w:p>
          <w:p w14:paraId="07009468" w14:textId="77777777" w:rsidR="004D5DF1" w:rsidRDefault="004D5DF1" w:rsidP="003864E9">
            <w:pPr>
              <w:ind w:left="75"/>
              <w:jc w:val="both"/>
              <w:rPr>
                <w:sz w:val="24"/>
                <w:szCs w:val="24"/>
              </w:rPr>
            </w:pPr>
          </w:p>
          <w:p w14:paraId="3A200344" w14:textId="734A694D" w:rsidR="002F588C" w:rsidRDefault="002F588C" w:rsidP="002F588C">
            <w:pPr>
              <w:ind w:left="75"/>
              <w:rPr>
                <w:sz w:val="24"/>
                <w:szCs w:val="24"/>
              </w:rPr>
            </w:pPr>
            <w:r>
              <w:rPr>
                <w:sz w:val="24"/>
                <w:szCs w:val="24"/>
              </w:rPr>
              <w:t xml:space="preserve">14. </w:t>
            </w:r>
            <w:r w:rsidR="006E428F">
              <w:rPr>
                <w:sz w:val="24"/>
                <w:szCs w:val="24"/>
              </w:rPr>
              <w:t>Additional Information</w:t>
            </w:r>
          </w:p>
          <w:p w14:paraId="0138DFA7" w14:textId="0DED86F5" w:rsidR="002F588C" w:rsidRDefault="002F588C" w:rsidP="002F588C">
            <w:pPr>
              <w:ind w:left="75"/>
              <w:rPr>
                <w:sz w:val="24"/>
                <w:szCs w:val="24"/>
              </w:rPr>
            </w:pPr>
            <w:r>
              <w:rPr>
                <w:sz w:val="24"/>
                <w:szCs w:val="24"/>
              </w:rPr>
              <w:t>Is there a list of members’ interests held?</w:t>
            </w:r>
          </w:p>
        </w:tc>
        <w:tc>
          <w:tcPr>
            <w:tcW w:w="5816" w:type="dxa"/>
          </w:tcPr>
          <w:p w14:paraId="00E95418" w14:textId="77777777" w:rsidR="004D5DF1" w:rsidRDefault="004D5DF1" w:rsidP="003864E9">
            <w:pPr>
              <w:ind w:left="75"/>
              <w:jc w:val="both"/>
              <w:rPr>
                <w:sz w:val="24"/>
                <w:szCs w:val="24"/>
              </w:rPr>
            </w:pPr>
          </w:p>
          <w:p w14:paraId="6FB59DCB" w14:textId="188AF690" w:rsidR="00DD0341" w:rsidRDefault="00DD0341" w:rsidP="003864E9">
            <w:pPr>
              <w:ind w:left="75"/>
              <w:jc w:val="both"/>
              <w:rPr>
                <w:sz w:val="24"/>
                <w:szCs w:val="24"/>
              </w:rPr>
            </w:pPr>
            <w:r>
              <w:rPr>
                <w:sz w:val="24"/>
                <w:szCs w:val="24"/>
              </w:rPr>
              <w:t xml:space="preserve">Comment: </w:t>
            </w:r>
            <w:r w:rsidR="00EC0722">
              <w:rPr>
                <w:sz w:val="24"/>
                <w:szCs w:val="24"/>
              </w:rPr>
              <w:t>whilst the minutes show resolutions to receive valid reasons f</w:t>
            </w:r>
            <w:r w:rsidR="002F588C">
              <w:rPr>
                <w:sz w:val="24"/>
                <w:szCs w:val="24"/>
              </w:rPr>
              <w:t>or</w:t>
            </w:r>
            <w:r w:rsidR="00EC0722">
              <w:rPr>
                <w:sz w:val="24"/>
                <w:szCs w:val="24"/>
              </w:rPr>
              <w:t xml:space="preserve"> apologies given (where applicable), there is no formal record to show that Council has approved the apologies submitted.</w:t>
            </w:r>
          </w:p>
          <w:p w14:paraId="5618C587" w14:textId="77777777" w:rsidR="001B7A2A" w:rsidRDefault="001B7A2A" w:rsidP="003864E9">
            <w:pPr>
              <w:ind w:left="75"/>
              <w:jc w:val="both"/>
              <w:rPr>
                <w:sz w:val="24"/>
                <w:szCs w:val="24"/>
              </w:rPr>
            </w:pPr>
          </w:p>
          <w:p w14:paraId="3EE8EB6F" w14:textId="77777777" w:rsidR="001B7A2A" w:rsidRDefault="001B7A2A" w:rsidP="003864E9">
            <w:pPr>
              <w:ind w:left="75"/>
              <w:jc w:val="both"/>
              <w:rPr>
                <w:sz w:val="24"/>
                <w:szCs w:val="24"/>
              </w:rPr>
            </w:pPr>
          </w:p>
          <w:p w14:paraId="0614BA79" w14:textId="77777777" w:rsidR="001B7A2A" w:rsidRDefault="001B7A2A" w:rsidP="003864E9">
            <w:pPr>
              <w:ind w:left="75"/>
              <w:jc w:val="both"/>
              <w:rPr>
                <w:sz w:val="24"/>
                <w:szCs w:val="24"/>
              </w:rPr>
            </w:pPr>
          </w:p>
          <w:p w14:paraId="65529ECB" w14:textId="77777777" w:rsidR="001B7A2A" w:rsidRDefault="001B7A2A" w:rsidP="003864E9">
            <w:pPr>
              <w:ind w:left="75"/>
              <w:jc w:val="both"/>
              <w:rPr>
                <w:sz w:val="24"/>
                <w:szCs w:val="24"/>
              </w:rPr>
            </w:pPr>
          </w:p>
          <w:p w14:paraId="581D3C20" w14:textId="43EDA251" w:rsidR="001B7A2A" w:rsidRDefault="002F588C" w:rsidP="003864E9">
            <w:pPr>
              <w:ind w:left="75"/>
              <w:jc w:val="both"/>
              <w:rPr>
                <w:sz w:val="24"/>
                <w:szCs w:val="24"/>
              </w:rPr>
            </w:pPr>
            <w:r>
              <w:rPr>
                <w:sz w:val="24"/>
                <w:szCs w:val="24"/>
              </w:rPr>
              <w:t>Comment: There was no evidence seen of a direct link from the Parish Council’s website to the District Authority’s website for the Register of Interests for all current Parish Councillors.</w:t>
            </w:r>
          </w:p>
        </w:tc>
        <w:tc>
          <w:tcPr>
            <w:tcW w:w="5771" w:type="dxa"/>
          </w:tcPr>
          <w:p w14:paraId="74987A4D" w14:textId="77777777" w:rsidR="004D5DF1" w:rsidRDefault="004D5DF1" w:rsidP="003864E9">
            <w:pPr>
              <w:ind w:left="75"/>
              <w:jc w:val="both"/>
              <w:rPr>
                <w:sz w:val="24"/>
                <w:szCs w:val="24"/>
              </w:rPr>
            </w:pPr>
          </w:p>
          <w:p w14:paraId="1898E4A5" w14:textId="6DF7D0FF" w:rsidR="004D5DF1" w:rsidRDefault="0025790A" w:rsidP="003864E9">
            <w:pPr>
              <w:ind w:left="75"/>
              <w:jc w:val="both"/>
              <w:rPr>
                <w:sz w:val="24"/>
                <w:szCs w:val="24"/>
              </w:rPr>
            </w:pPr>
            <w:r>
              <w:rPr>
                <w:sz w:val="24"/>
                <w:szCs w:val="24"/>
              </w:rPr>
              <w:t>The comment received from the SALC internal auditor has been noted</w:t>
            </w:r>
            <w:r w:rsidR="00DA4EED">
              <w:rPr>
                <w:sz w:val="24"/>
                <w:szCs w:val="24"/>
              </w:rPr>
              <w:t xml:space="preserve">, and </w:t>
            </w:r>
            <w:r w:rsidR="002F588C">
              <w:rPr>
                <w:sz w:val="24"/>
                <w:szCs w:val="24"/>
              </w:rPr>
              <w:t xml:space="preserve">going forward, </w:t>
            </w:r>
            <w:r w:rsidR="00DA4EED">
              <w:rPr>
                <w:sz w:val="24"/>
                <w:szCs w:val="24"/>
              </w:rPr>
              <w:t xml:space="preserve">minutes will reflect the comment accordingly. </w:t>
            </w:r>
          </w:p>
          <w:p w14:paraId="540E62DA" w14:textId="712710A4" w:rsidR="004D5DF1" w:rsidRDefault="004D5DF1" w:rsidP="003864E9">
            <w:pPr>
              <w:ind w:left="75"/>
              <w:jc w:val="both"/>
              <w:rPr>
                <w:sz w:val="24"/>
                <w:szCs w:val="24"/>
              </w:rPr>
            </w:pPr>
            <w:r>
              <w:rPr>
                <w:sz w:val="24"/>
                <w:szCs w:val="24"/>
              </w:rPr>
              <w:t>No further action required by CPC.</w:t>
            </w:r>
          </w:p>
          <w:p w14:paraId="02B64F08" w14:textId="2702854E" w:rsidR="000969ED" w:rsidRDefault="000969ED" w:rsidP="003864E9">
            <w:pPr>
              <w:ind w:left="75"/>
              <w:jc w:val="both"/>
              <w:rPr>
                <w:sz w:val="24"/>
                <w:szCs w:val="24"/>
              </w:rPr>
            </w:pPr>
          </w:p>
          <w:p w14:paraId="26C0B8F0" w14:textId="4A839120" w:rsidR="000969ED" w:rsidRDefault="000969ED" w:rsidP="003864E9">
            <w:pPr>
              <w:ind w:left="75"/>
              <w:jc w:val="both"/>
              <w:rPr>
                <w:sz w:val="24"/>
                <w:szCs w:val="24"/>
              </w:rPr>
            </w:pPr>
          </w:p>
          <w:p w14:paraId="34634C79" w14:textId="60797B3F" w:rsidR="000969ED" w:rsidRDefault="000969ED" w:rsidP="003864E9">
            <w:pPr>
              <w:ind w:left="75"/>
              <w:jc w:val="both"/>
              <w:rPr>
                <w:sz w:val="24"/>
                <w:szCs w:val="24"/>
              </w:rPr>
            </w:pPr>
          </w:p>
          <w:p w14:paraId="2F7A100E" w14:textId="78C6BFB3" w:rsidR="000969ED" w:rsidRDefault="000969ED" w:rsidP="003864E9">
            <w:pPr>
              <w:ind w:left="75"/>
              <w:jc w:val="both"/>
              <w:rPr>
                <w:sz w:val="24"/>
                <w:szCs w:val="24"/>
              </w:rPr>
            </w:pPr>
          </w:p>
          <w:p w14:paraId="46F31764" w14:textId="50EFDDF8" w:rsidR="004D5DF1" w:rsidRDefault="00F67063" w:rsidP="003864E9">
            <w:pPr>
              <w:ind w:left="75"/>
              <w:jc w:val="both"/>
              <w:rPr>
                <w:sz w:val="24"/>
                <w:szCs w:val="24"/>
              </w:rPr>
            </w:pPr>
            <w:r>
              <w:rPr>
                <w:sz w:val="24"/>
                <w:szCs w:val="24"/>
              </w:rPr>
              <w:t>A link on the Parish Council’s website to the District Authority’s website for the Register of Interests has now been published.</w:t>
            </w:r>
          </w:p>
          <w:p w14:paraId="1BE146CB" w14:textId="1D2361D7" w:rsidR="00F67063" w:rsidRDefault="00F67063" w:rsidP="003864E9">
            <w:pPr>
              <w:ind w:left="75"/>
              <w:jc w:val="both"/>
              <w:rPr>
                <w:sz w:val="24"/>
                <w:szCs w:val="24"/>
              </w:rPr>
            </w:pPr>
            <w:r>
              <w:rPr>
                <w:sz w:val="24"/>
                <w:szCs w:val="24"/>
              </w:rPr>
              <w:t>No further action required by CPC.</w:t>
            </w:r>
          </w:p>
          <w:p w14:paraId="6D4A5F17" w14:textId="3F3343D9" w:rsidR="004D5DF1" w:rsidRDefault="004D5DF1" w:rsidP="003864E9">
            <w:pPr>
              <w:ind w:left="75"/>
              <w:jc w:val="both"/>
              <w:rPr>
                <w:sz w:val="24"/>
                <w:szCs w:val="24"/>
              </w:rPr>
            </w:pPr>
          </w:p>
        </w:tc>
      </w:tr>
      <w:tr w:rsidR="004D5DF1" w14:paraId="3F993242" w14:textId="77777777" w:rsidTr="0003108B">
        <w:trPr>
          <w:trHeight w:val="2690"/>
        </w:trPr>
        <w:tc>
          <w:tcPr>
            <w:tcW w:w="2893" w:type="dxa"/>
            <w:vMerge w:val="restart"/>
          </w:tcPr>
          <w:p w14:paraId="45A43339" w14:textId="77777777" w:rsidR="00690302" w:rsidRDefault="00690302" w:rsidP="003864E9">
            <w:pPr>
              <w:rPr>
                <w:sz w:val="24"/>
                <w:szCs w:val="24"/>
              </w:rPr>
            </w:pPr>
          </w:p>
          <w:p w14:paraId="3B87CCD8" w14:textId="7189919D" w:rsidR="004D5DF1" w:rsidRDefault="00690302" w:rsidP="003864E9">
            <w:pPr>
              <w:rPr>
                <w:sz w:val="24"/>
                <w:szCs w:val="24"/>
              </w:rPr>
            </w:pPr>
            <w:r>
              <w:rPr>
                <w:sz w:val="24"/>
                <w:szCs w:val="24"/>
              </w:rPr>
              <w:t>14. Additional Information</w:t>
            </w:r>
          </w:p>
          <w:p w14:paraId="25373E32" w14:textId="241B6C7D" w:rsidR="00C16B5E" w:rsidRDefault="006E428F" w:rsidP="003864E9">
            <w:pPr>
              <w:rPr>
                <w:sz w:val="24"/>
                <w:szCs w:val="24"/>
              </w:rPr>
            </w:pPr>
            <w:r>
              <w:rPr>
                <w:sz w:val="24"/>
                <w:szCs w:val="24"/>
              </w:rPr>
              <w:t>Does the council have official email addresses for correspondence?</w:t>
            </w:r>
          </w:p>
        </w:tc>
        <w:tc>
          <w:tcPr>
            <w:tcW w:w="5816" w:type="dxa"/>
          </w:tcPr>
          <w:p w14:paraId="1CC47DE3" w14:textId="77777777" w:rsidR="00690302" w:rsidRDefault="00690302" w:rsidP="003864E9">
            <w:pPr>
              <w:ind w:left="75"/>
              <w:jc w:val="both"/>
              <w:rPr>
                <w:sz w:val="24"/>
                <w:szCs w:val="24"/>
              </w:rPr>
            </w:pPr>
          </w:p>
          <w:p w14:paraId="72399636" w14:textId="5B0172F8" w:rsidR="006E428F" w:rsidRDefault="006E428F" w:rsidP="003864E9">
            <w:pPr>
              <w:ind w:left="75"/>
              <w:jc w:val="both"/>
              <w:rPr>
                <w:sz w:val="24"/>
                <w:szCs w:val="24"/>
              </w:rPr>
            </w:pPr>
            <w:r>
              <w:rPr>
                <w:sz w:val="24"/>
                <w:szCs w:val="24"/>
              </w:rPr>
              <w:t>Comment: Council might wish to consider using a secure e-mail system with a gov.uk address which is owned by the parish council.</w:t>
            </w:r>
          </w:p>
        </w:tc>
        <w:tc>
          <w:tcPr>
            <w:tcW w:w="5771" w:type="dxa"/>
          </w:tcPr>
          <w:p w14:paraId="476BC684" w14:textId="77777777" w:rsidR="004D5DF1" w:rsidRDefault="004D5DF1" w:rsidP="003864E9">
            <w:pPr>
              <w:ind w:left="75"/>
              <w:jc w:val="both"/>
              <w:rPr>
                <w:b/>
                <w:bCs/>
                <w:sz w:val="24"/>
                <w:szCs w:val="24"/>
              </w:rPr>
            </w:pPr>
          </w:p>
          <w:p w14:paraId="22E829D2" w14:textId="217FE14E" w:rsidR="000E1113" w:rsidRPr="0003108B" w:rsidRDefault="006E428F" w:rsidP="0003108B">
            <w:pPr>
              <w:ind w:left="75"/>
              <w:jc w:val="both"/>
              <w:rPr>
                <w:sz w:val="24"/>
                <w:szCs w:val="24"/>
              </w:rPr>
            </w:pPr>
            <w:r>
              <w:rPr>
                <w:b/>
                <w:bCs/>
                <w:sz w:val="24"/>
                <w:szCs w:val="24"/>
              </w:rPr>
              <w:t xml:space="preserve">ACTION: Suffolk Cloud </w:t>
            </w:r>
            <w:r w:rsidR="000E1113">
              <w:rPr>
                <w:b/>
                <w:bCs/>
                <w:sz w:val="24"/>
                <w:szCs w:val="24"/>
              </w:rPr>
              <w:t xml:space="preserve">is unable to help with a ‘gov.uk’ address as this can only be organised by the Parish Council. If the Council decides to go down this route, Suffolk Cloud can provide details on how to direct that address to our website. </w:t>
            </w:r>
          </w:p>
        </w:tc>
      </w:tr>
    </w:tbl>
    <w:p w14:paraId="5CB78542" w14:textId="77777777" w:rsidR="009B00A1" w:rsidRDefault="009B00A1"/>
    <w:sectPr w:rsidR="009B00A1" w:rsidSect="004D5D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F1"/>
    <w:rsid w:val="0003108B"/>
    <w:rsid w:val="00047C3A"/>
    <w:rsid w:val="00054A7D"/>
    <w:rsid w:val="000969ED"/>
    <w:rsid w:val="000E1113"/>
    <w:rsid w:val="00180835"/>
    <w:rsid w:val="001B7A2A"/>
    <w:rsid w:val="001C7762"/>
    <w:rsid w:val="0025790A"/>
    <w:rsid w:val="002A2A9B"/>
    <w:rsid w:val="002F3153"/>
    <w:rsid w:val="002F588C"/>
    <w:rsid w:val="00444982"/>
    <w:rsid w:val="00461D65"/>
    <w:rsid w:val="004B2D78"/>
    <w:rsid w:val="004D5DF1"/>
    <w:rsid w:val="005A2454"/>
    <w:rsid w:val="005A682D"/>
    <w:rsid w:val="00690302"/>
    <w:rsid w:val="006A67EC"/>
    <w:rsid w:val="006C1327"/>
    <w:rsid w:val="006E428F"/>
    <w:rsid w:val="00706FAA"/>
    <w:rsid w:val="008C1697"/>
    <w:rsid w:val="00960FE3"/>
    <w:rsid w:val="00967839"/>
    <w:rsid w:val="009B00A1"/>
    <w:rsid w:val="00A27DBA"/>
    <w:rsid w:val="00A819B5"/>
    <w:rsid w:val="00C16B5E"/>
    <w:rsid w:val="00C63B37"/>
    <w:rsid w:val="00C925E8"/>
    <w:rsid w:val="00DA4EED"/>
    <w:rsid w:val="00DD0341"/>
    <w:rsid w:val="00E63CF9"/>
    <w:rsid w:val="00EB00B7"/>
    <w:rsid w:val="00EC0722"/>
    <w:rsid w:val="00F46540"/>
    <w:rsid w:val="00F67063"/>
    <w:rsid w:val="00F8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5181"/>
  <w15:chartTrackingRefBased/>
  <w15:docId w15:val="{2CC20B77-02DE-496E-B727-CEDB6206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113"/>
    <w:rPr>
      <w:color w:val="0000FF"/>
      <w:u w:val="single"/>
    </w:rPr>
  </w:style>
  <w:style w:type="character" w:styleId="UnresolvedMention">
    <w:name w:val="Unresolved Mention"/>
    <w:basedOn w:val="DefaultParagraphFont"/>
    <w:uiPriority w:val="99"/>
    <w:semiHidden/>
    <w:unhideWhenUsed/>
    <w:rsid w:val="0003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DF4C-788B-4D0F-9007-94F7D7F7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Bailey</dc:creator>
  <cp:keywords/>
  <dc:description/>
  <cp:lastModifiedBy>Sue Frankis</cp:lastModifiedBy>
  <cp:revision>3</cp:revision>
  <cp:lastPrinted>2021-05-17T12:23:00Z</cp:lastPrinted>
  <dcterms:created xsi:type="dcterms:W3CDTF">2022-06-16T10:19:00Z</dcterms:created>
  <dcterms:modified xsi:type="dcterms:W3CDTF">2022-06-16T10:23:00Z</dcterms:modified>
</cp:coreProperties>
</file>